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Соглашение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о пользовании Сервисом «Кошелек КриптоГенг»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q3jlg96er5f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Соглашение о пользовании Сервисом «Кошелек КриптоГенг» (далее по тексту — Соглашение) в соответствии со статьей 424 Гражданского кодекса Республики Абхазия является Публичной офертой, адресованной Пользователям Сервиса «Кошелек КриптоГенг», и становится соглашением между Пользователем, Провайдером Сервиса и Расчетным Банком об оказании услуг Сервиса «Кошелек КриптоГенг» с момента регистрационных действий Пользователя в Сервисе, означающих полное и безоговорочное принятие Пользователем всех условий Соглашения, Правил Сервиса «Кошелек КриптоГенг» и Политики конфиденциальности Сервиса «Кошелек КриптоГенг» без каких-либо изъятий или ограничений на условиях присоединения.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Соглашение определяет порядок оказания услуг по приему и обработке платежей, совершаемых с использованием электронных средств платежа в Сервисе «Кошелек КриптоГенг», а также регулирует отношения между Участниками Сервиса, возникающие в связи с оказанием услуг и заключением настоящего Соглашения.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Соглашение доступно для ознакомления на сайтах участников Сервиса «Кошелек КриптоГенг» и предоставляет Пользователям всю необходимую информацию, а также рассматривает вопросы и претензии, связанные с исполнением обязательств, принятых на себя в рамках Соглашения.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zuuy9soi9g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целей настоящего Соглашения применяются следующие основные термины и определения: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2.1.</w:t>
      </w:r>
      <w:r w:rsidDel="00000000" w:rsidR="00000000" w:rsidRPr="00000000">
        <w:rPr>
          <w:rtl w:val="0"/>
        </w:rPr>
        <w:t xml:space="preserve"> Сервис «Кошелек КриптоГенг» - далее Сервис, это набор услуг, предоставляемых Пользователям Участниками Сервиса, в целях создания для Пользователей удобных, безопасных и быстрых (в режиме онлайн) способов оплаты товаров и услуг Поставщиков, переводов денежных средств без открытия банковского счета и других услуг, описанных в настоящих Правилах.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2.2.</w:t>
      </w:r>
      <w:r w:rsidDel="00000000" w:rsidR="00000000" w:rsidRPr="00000000">
        <w:rPr>
          <w:rtl w:val="0"/>
        </w:rPr>
        <w:t xml:space="preserve"> Пользователь – физическое лицо, пользующееся Услугами Сервиса, в соответствии с настоящими Правилами и Соглашением о пользовании Сервисом.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2.3.</w:t>
      </w:r>
      <w:r w:rsidDel="00000000" w:rsidR="00000000" w:rsidRPr="00000000">
        <w:rPr>
          <w:rtl w:val="0"/>
        </w:rPr>
        <w:t xml:space="preserve"> Провайдер — Участник Сервиса, Кошелек КриптоГенг, являющийся провайдером Сервиса «Кошелек КриптоГенг», обеспечивающий Пользователю доступ к услугам Сервиса посредством Личного кабинета Пользователя в мобильном приложении «Кошелек КриптоГенг» и на сайте сервиса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 в сети интернет, информационное и технологическое взаимодействие между Плательщиками, Получателями и ОКО в соответствии с Законодательством Республики Абхазия, нормативными актами Банка Абхазии и заключенными договорами.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2.4.</w:t>
      </w:r>
      <w:r w:rsidDel="00000000" w:rsidR="00000000" w:rsidRPr="00000000">
        <w:rPr>
          <w:rtl w:val="0"/>
        </w:rPr>
        <w:t xml:space="preserve"> Обслуживающая кредитная организация (ОКО) — Участник Сервиса, кредитная организация (Банк или РНКО), в соответствии с законодательством Республики Абхазия имеющая право осуществлять перевод денежных средств по поручению физических лиц без открытия им банковских счетов, осуществлять перевод электронных денег с использованием электронных средств платежа, а также вправе на основании договора привлекать банковского платежного агента в рамках предоставления Пользователям Сервиса «Кошелек КриптоГенг». В настоящее время Обслуживающей кредитной организацией Сервиса является РНКО «Очамчыра».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2.5.</w:t>
      </w:r>
      <w:r w:rsidDel="00000000" w:rsidR="00000000" w:rsidRPr="00000000">
        <w:rPr>
          <w:rtl w:val="0"/>
        </w:rPr>
        <w:t xml:space="preserve"> Правила Сервиса – документ, определяющий порядок функционирования Сервиса «Кошелек КриптоГенг» при совершении платежей и переводов удаленно по каналам связи посредством персональных компьютеров, смартфонов, электронных терминалов, включая интернет, и иными способами, не противоречащими законодательству Республики Абхазия.</w:t>
        <w:br w:type="textWrapping"/>
        <w:t xml:space="preserve"> Правила Сервиса доступны в сети интернет по адресам Участников Сервиса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2.6.</w:t>
      </w:r>
      <w:r w:rsidDel="00000000" w:rsidR="00000000" w:rsidRPr="00000000">
        <w:rPr>
          <w:rtl w:val="0"/>
        </w:rPr>
        <w:t xml:space="preserve"> Соглашение о пользовании Сервисом (Соглашение) – соглашение/оферта на использование Сервиса, заключаемое Пользователем, Провайдером и ОКО.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2.7.</w:t>
      </w:r>
      <w:r w:rsidDel="00000000" w:rsidR="00000000" w:rsidRPr="00000000">
        <w:rPr>
          <w:rtl w:val="0"/>
        </w:rPr>
        <w:t xml:space="preserve"> Электронные средства платежа (ЭСП) – электронные информационные инструменты, в том числе банковские карты, иные электронно-информационные инструменты (или) процедуры, включая Личный кабинет Пользователя Сервиса, и инструменты обмена расчетно-платежной информацией, позволяющие Пользователям Сервиса составлять, удостоверять и передавать платежные распоряжения в целях осуществления перевода денежных средств в соответствии с требованиями Гражданского кодекса Республики Абхазия и Законодательства РА.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2.8.</w:t>
      </w:r>
      <w:r w:rsidDel="00000000" w:rsidR="00000000" w:rsidRPr="00000000">
        <w:rPr>
          <w:rtl w:val="0"/>
        </w:rPr>
        <w:t xml:space="preserve"> ЭСП Кошелек КриптоГенг – электронное средство платежа, реализованное в виде программной системы самообслуживания – Личного Кабинета Пользователя на сайте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 и в мобильном приложении «Кошелек КриптоГенг», которое можно загрузить в магазинах приложений Google Play, RuStore и др., и применяемое Пользователями настоящего Сервиса в рамках настоящих Правил. ЭСП Кошелек КриптоГенг не является криптокошельком.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2.9.</w:t>
      </w:r>
      <w:r w:rsidDel="00000000" w:rsidR="00000000" w:rsidRPr="00000000">
        <w:rPr>
          <w:rtl w:val="0"/>
        </w:rPr>
        <w:t xml:space="preserve"> Электронные деньги (ЭД) – денежные средства, которые предварительно предоставлены Пользователем Сервиса Провайдеру, учитывающему информацию о размере предоставленных денежных средств без открытия банковского счета, для исполнения денежных обязательств Пользователя, предоставившего денежные средства, перед третьими лицами и в отношении которых Пользователь, предоставивший денежные средства, имеет право передавать распоряжения исключительно с использованием ЭСП Кошелек КриптоГенг.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2.10.</w:t>
      </w:r>
      <w:r w:rsidDel="00000000" w:rsidR="00000000" w:rsidRPr="00000000">
        <w:rPr>
          <w:rtl w:val="0"/>
        </w:rPr>
        <w:t xml:space="preserve"> Аккаунт Пользователя (Аккаунт) – запись, открываемая Провайдером в Системе Сервиса для учета средств, предоставленных Пользователем для совершения Операций, и не являющийся счетом Пользователя.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2.11.</w:t>
      </w:r>
      <w:r w:rsidDel="00000000" w:rsidR="00000000" w:rsidRPr="00000000">
        <w:rPr>
          <w:rtl w:val="0"/>
        </w:rPr>
        <w:t xml:space="preserve"> Виртуальная карта – электронное средство платежа, выпускаемое по заказу Пользователя банком-партнером Сервиса. С использованием реквизитов виртуальной карты возможна оплата товаров и услуг с использованием электронных денежных средств, находящихся на балансе аккаунта Пользователя в Сервисе, в интернет и мобильной коммерции, а также в оффлайн торгово-сервисных предприятиях с использованием сторонних платежных приложений.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2.12.</w:t>
      </w:r>
      <w:r w:rsidDel="00000000" w:rsidR="00000000" w:rsidRPr="00000000">
        <w:rPr>
          <w:rtl w:val="0"/>
        </w:rPr>
        <w:t xml:space="preserve"> QR-платежи – возможность оплаты товаров и услуг с использованием электронных денежных средств, находящихся на балансе аккаунта Пользователя в Сервисе, с использованием технологии сканирования QR-кода, сгенерированного в торговой точке.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2.13.</w:t>
      </w:r>
      <w:r w:rsidDel="00000000" w:rsidR="00000000" w:rsidRPr="00000000">
        <w:rPr>
          <w:rtl w:val="0"/>
        </w:rPr>
        <w:t xml:space="preserve"> Личный кабинет – организованная Провайдером программная система самообслуживания, доступ к которой предоставляется авторизованным Пользователям с использованием сети Интернет, в целях самостоятельного управления услугами Сервиса и получения информации о них. Пользователь отвечает за действия, совершенные в личном кабинете в мобильном приложении «Кошелек КриптоГенг».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2.14.</w:t>
      </w:r>
      <w:r w:rsidDel="00000000" w:rsidR="00000000" w:rsidRPr="00000000">
        <w:rPr>
          <w:rtl w:val="0"/>
        </w:rPr>
        <w:t xml:space="preserve"> Услуги Сервиса – Сервис обеспечивает предоставление Пользователям услуг, выполнение которых осуществляется через Личный Кабинет Пользователя Сервиса и в мобильном приложении «Кошелек КриптоГенг», и включают различные операции, в том числе проведение переводов денежных средств без открытия банковского счета.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2.15.</w:t>
      </w:r>
      <w:r w:rsidDel="00000000" w:rsidR="00000000" w:rsidRPr="00000000">
        <w:rPr>
          <w:rtl w:val="0"/>
        </w:rPr>
        <w:t xml:space="preserve"> Идентификация/верификация – совокупность мероприятий по установлению сведений о Пользователе Сервиса, по подтверждению достоверности этих сведений в соответствии с требованиями законодательства Республики Абхазия.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2.28.</w:t>
      </w:r>
      <w:r w:rsidDel="00000000" w:rsidR="00000000" w:rsidRPr="00000000">
        <w:rPr>
          <w:rtl w:val="0"/>
        </w:rPr>
        <w:t xml:space="preserve"> Тарифы – совокупность комиссий и их значений, подлежащих уплате Пользователем за услуги, оказанные Сервисом. Тарифы публикуются в личном кабинете Пользователя Сервиса Кошелек КриптоГенг по адресу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 и в мобильном приложении «Кошелек КриптоГенг».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(Остальные термины приведены в соответствии с оригинальной структурой и с заменами.)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cgshrqqlfw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Права и обязанности Пользователя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3.1.</w:t>
      </w:r>
      <w:r w:rsidDel="00000000" w:rsidR="00000000" w:rsidRPr="00000000">
        <w:rPr>
          <w:rtl w:val="0"/>
        </w:rPr>
        <w:t xml:space="preserve"> Пользователь вправе: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Пользоваться услугами Сервиса «Кошелек КриптоГенг» в порядке, установленном настоящим Соглашением и Правилами;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Получать информацию о состоянии своего Аккаунта, истории операций;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Совершать переводы и платежи в пределах установленных лимитов;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Обращаться в службу поддержки по адресу qq@cryptogang.company.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3.2.</w:t>
      </w:r>
      <w:r w:rsidDel="00000000" w:rsidR="00000000" w:rsidRPr="00000000">
        <w:rPr>
          <w:rtl w:val="0"/>
        </w:rPr>
        <w:t xml:space="preserve"> Пользователь обязан: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Предоставлять достоверные сведения при регистрации и идентификации;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Сохранять в тайне логин, пароль и иные реквизиты доступа к Личному кабинету;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использовать Сервис в противоправных целях;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Своевременно уведомлять Провайдера об изменении своих персональных данных;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Оплачивать услуги Сервиса согласно действующим Тарифам.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fnd50z4cez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Права и обязанности Провайдера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4.1.</w:t>
      </w:r>
      <w:r w:rsidDel="00000000" w:rsidR="00000000" w:rsidRPr="00000000">
        <w:rPr>
          <w:rtl w:val="0"/>
        </w:rPr>
        <w:t xml:space="preserve"> Провайдер вправе: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Требовать от Пользователя прохождения идентификации;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Приостанавливать или прекращать доступ к Сервису при нарушении условий Соглашения;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Вносить изменения в настоящее Соглашение с уведомлением Пользователя.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4.2.</w:t>
      </w:r>
      <w:r w:rsidDel="00000000" w:rsidR="00000000" w:rsidRPr="00000000">
        <w:rPr>
          <w:rtl w:val="0"/>
        </w:rPr>
        <w:t xml:space="preserve"> Провайдер обязан: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Обеспечивать надлежащее функционирование Сервиса «Кошелек КриптоГенг»;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Обеспечивать конфиденциальность персональных данных Пользователя;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Предоставлять Пользователю информацию о совершенных операциях;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Рассматривать претензии Пользователей в установленные сроки.</w:t>
        <w:br w:type="textWrapping"/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i9zwsjoax0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Порядок оказания услуг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5.1.</w:t>
      </w:r>
      <w:r w:rsidDel="00000000" w:rsidR="00000000" w:rsidRPr="00000000">
        <w:rPr>
          <w:rtl w:val="0"/>
        </w:rPr>
        <w:t xml:space="preserve"> Услуги оказываются круглосуточно, за исключением времени проведения технических работ.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5.2.</w:t>
      </w:r>
      <w:r w:rsidDel="00000000" w:rsidR="00000000" w:rsidRPr="00000000">
        <w:rPr>
          <w:rtl w:val="0"/>
        </w:rPr>
        <w:t xml:space="preserve"> Операции совершаются на основании Распоряжения Пользователя, подтвержденного одноразовым кодом или иным способом аутентификации.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5.3.</w:t>
      </w:r>
      <w:r w:rsidDel="00000000" w:rsidR="00000000" w:rsidRPr="00000000">
        <w:rPr>
          <w:rtl w:val="0"/>
        </w:rPr>
        <w:t xml:space="preserve"> Провайдер и ОКО вправе отказать в совершении операции в случаях, предусмотренных законодательством и Правилами Сервиса.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uqf1ib72a7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Ответственность сторон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6.1.</w:t>
      </w:r>
      <w:r w:rsidDel="00000000" w:rsidR="00000000" w:rsidRPr="00000000">
        <w:rPr>
          <w:rtl w:val="0"/>
        </w:rPr>
        <w:t xml:space="preserve"> Стороны несут ответственность за неисполнение или ненадлежащее исполнение своих обязательств в соответствии с законодательством Республики Абхазия и условиями настоящего Соглашения.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6.2.</w:t>
      </w:r>
      <w:r w:rsidDel="00000000" w:rsidR="00000000" w:rsidRPr="00000000">
        <w:rPr>
          <w:rtl w:val="0"/>
        </w:rPr>
        <w:t xml:space="preserve"> Пользователь несет ответственность за сохранность своих реквизитов доступа.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6.3.</w:t>
      </w:r>
      <w:r w:rsidDel="00000000" w:rsidR="00000000" w:rsidRPr="00000000">
        <w:rPr>
          <w:rtl w:val="0"/>
        </w:rPr>
        <w:t xml:space="preserve"> Провайдер не несет ответственность за убытки, возникшие вследствие действий третьих лиц, получивших несанкционированный доступ к Аккаунту Пользователя по вине последнего.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hcmghbtikxk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Порядок разрешения споров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7.1.</w:t>
      </w:r>
      <w:r w:rsidDel="00000000" w:rsidR="00000000" w:rsidRPr="00000000">
        <w:rPr>
          <w:rtl w:val="0"/>
        </w:rPr>
        <w:t xml:space="preserve"> Все споры и разногласия решаются путем переговоров.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7.2.</w:t>
      </w:r>
      <w:r w:rsidDel="00000000" w:rsidR="00000000" w:rsidRPr="00000000">
        <w:rPr>
          <w:rtl w:val="0"/>
        </w:rPr>
        <w:t xml:space="preserve"> Претензии Пользователя принимаются по электронной почте: </w:t>
      </w:r>
      <w:r w:rsidDel="00000000" w:rsidR="00000000" w:rsidRPr="00000000">
        <w:rPr>
          <w:b w:val="1"/>
          <w:bCs w:val="1"/>
          <w:rtl w:val="0"/>
        </w:rPr>
        <w:t xml:space="preserve">qq@cryptogang.company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7.3.</w:t>
      </w:r>
      <w:r w:rsidDel="00000000" w:rsidR="00000000" w:rsidRPr="00000000">
        <w:rPr>
          <w:rtl w:val="0"/>
        </w:rPr>
        <w:t xml:space="preserve"> Срок рассмотрения претензии — не более 30 календарных дней.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4fdpc45zpf4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8.1.</w:t>
      </w:r>
      <w:r w:rsidDel="00000000" w:rsidR="00000000" w:rsidRPr="00000000">
        <w:rPr>
          <w:rtl w:val="0"/>
        </w:rPr>
        <w:t xml:space="preserve"> Настоящее Соглашение регулируется законодательством Республики Абхазия.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8.2.</w:t>
      </w:r>
      <w:r w:rsidDel="00000000" w:rsidR="00000000" w:rsidRPr="00000000">
        <w:rPr>
          <w:rtl w:val="0"/>
        </w:rPr>
        <w:t xml:space="preserve"> Изменения в Соглашение вступают в силу не ранее чем через 5 (пять) календарных дней после их публикации на сайте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8.3.</w:t>
      </w:r>
      <w:r w:rsidDel="00000000" w:rsidR="00000000" w:rsidRPr="00000000">
        <w:rPr>
          <w:rtl w:val="0"/>
        </w:rPr>
        <w:t xml:space="preserve"> Продолжение использования Сервиса «Кошелек КриптоГенг» после внесения изменений означает согласие Пользователя с новой редакцией Соглашения.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8.4.</w:t>
      </w:r>
      <w:r w:rsidDel="00000000" w:rsidR="00000000" w:rsidRPr="00000000">
        <w:rPr>
          <w:rtl w:val="0"/>
        </w:rPr>
        <w:t xml:space="preserve"> Настоящее Соглашение вступает в силу с момента его акцепта Пользователем и действует до момента расторжения в порядке, предусмотренном законодательством.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ryptogang.company/" TargetMode="External"/><Relationship Id="rId10" Type="http://schemas.openxmlformats.org/officeDocument/2006/relationships/hyperlink" Target="https://cryptogang.company/" TargetMode="External"/><Relationship Id="rId13" Type="http://schemas.openxmlformats.org/officeDocument/2006/relationships/hyperlink" Target="https://cryptogang.company/" TargetMode="External"/><Relationship Id="rId12" Type="http://schemas.openxmlformats.org/officeDocument/2006/relationships/hyperlink" Target="https://cryptogang.compan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ryptogang.company/" TargetMode="External"/><Relationship Id="rId15" Type="http://schemas.openxmlformats.org/officeDocument/2006/relationships/hyperlink" Target="https://cryptogang.company/" TargetMode="External"/><Relationship Id="rId14" Type="http://schemas.openxmlformats.org/officeDocument/2006/relationships/hyperlink" Target="https://cryptogang.company/" TargetMode="External"/><Relationship Id="rId5" Type="http://schemas.openxmlformats.org/officeDocument/2006/relationships/styles" Target="styles.xml"/><Relationship Id="rId6" Type="http://schemas.openxmlformats.org/officeDocument/2006/relationships/hyperlink" Target="https://cryptogang.company/" TargetMode="External"/><Relationship Id="rId7" Type="http://schemas.openxmlformats.org/officeDocument/2006/relationships/hyperlink" Target="https://cryptogang.company/" TargetMode="External"/><Relationship Id="rId8" Type="http://schemas.openxmlformats.org/officeDocument/2006/relationships/hyperlink" Target="https://cryptogang.compan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